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66894" w:rsidR="00AC4261" w:rsidRDefault="00AC4261" w14:paraId="36ECF974" w14:textId="3C2AA837">
      <w:pPr>
        <w:rPr>
          <w:rFonts w:ascii="Trebuchet MS" w:hAnsi="Trebuchet MS" w:cs="LilyUPC"/>
          <w:b/>
          <w:bCs/>
          <w:sz w:val="20"/>
          <w:szCs w:val="20"/>
        </w:rPr>
      </w:pPr>
      <w:r w:rsidRPr="00866894">
        <w:rPr>
          <w:rFonts w:ascii="Trebuchet MS" w:hAnsi="Trebuchet MS" w:cs="LilyUPC"/>
          <w:b/>
          <w:bCs/>
          <w:sz w:val="20"/>
          <w:szCs w:val="20"/>
        </w:rPr>
        <w:t xml:space="preserve">Structuring Effective Support for Teachers who require additional input to improve </w:t>
      </w:r>
    </w:p>
    <w:p w:rsidRPr="00866894" w:rsidR="009D43AD" w:rsidRDefault="009D43AD" w14:paraId="37F119A2" w14:textId="3F7642C9">
      <w:pPr>
        <w:rPr>
          <w:rFonts w:ascii="Trebuchet MS" w:hAnsi="Trebuchet MS" w:cs="LilyUPC"/>
          <w:sz w:val="20"/>
          <w:szCs w:val="20"/>
        </w:rPr>
      </w:pPr>
      <w:r w:rsidRPr="00866894">
        <w:rPr>
          <w:rFonts w:ascii="Trebuchet MS" w:hAnsi="Trebuchet MS" w:cs="LilyUPC"/>
          <w:sz w:val="20"/>
          <w:szCs w:val="20"/>
        </w:rPr>
        <w:t>Session Duration: Approx. 90 minutes (depending on group discussion)</w:t>
      </w:r>
    </w:p>
    <w:p w:rsidRPr="00866894" w:rsidR="00690F3B" w:rsidRDefault="004C1782" w14:paraId="2AC8B22E" w14:textId="4DED4CF7">
      <w:pPr>
        <w:rPr>
          <w:rFonts w:ascii="Trebuchet MS" w:hAnsi="Trebuchet MS" w:cs="LilyUPC"/>
          <w:sz w:val="20"/>
          <w:szCs w:val="20"/>
        </w:rPr>
      </w:pPr>
      <w:r w:rsidRPr="00866894">
        <w:rPr>
          <w:rFonts w:ascii="Trebuchet MS" w:hAnsi="Trebuchet MS" w:cs="LilyUPC"/>
          <w:sz w:val="20"/>
          <w:szCs w:val="20"/>
        </w:rPr>
        <w:t>Intentions</w:t>
      </w:r>
      <w:r w:rsidRPr="00866894" w:rsidR="0046155C">
        <w:rPr>
          <w:rFonts w:ascii="Trebuchet MS" w:hAnsi="Trebuchet MS" w:cs="LilyUPC"/>
          <w:sz w:val="20"/>
          <w:szCs w:val="20"/>
        </w:rPr>
        <w:t xml:space="preserve"> of the session: </w:t>
      </w:r>
    </w:p>
    <w:p w:rsidRPr="00866894" w:rsidR="00396481" w:rsidP="00F712D5" w:rsidRDefault="00A645E4" w14:paraId="614F6FCC" w14:textId="228443F4">
      <w:pPr>
        <w:numPr>
          <w:ilvl w:val="1"/>
          <w:numId w:val="1"/>
        </w:numPr>
        <w:spacing w:line="240" w:lineRule="auto"/>
        <w:ind w:left="1434" w:hanging="357"/>
        <w:contextualSpacing/>
        <w:rPr>
          <w:rFonts w:ascii="Trebuchet MS" w:hAnsi="Trebuchet MS" w:cs="LilyUPC"/>
          <w:sz w:val="20"/>
          <w:szCs w:val="20"/>
        </w:rPr>
      </w:pPr>
      <w:r w:rsidRPr="00866894">
        <w:rPr>
          <w:rFonts w:ascii="Trebuchet MS" w:hAnsi="Trebuchet MS" w:cs="LilyUPC"/>
          <w:sz w:val="20"/>
          <w:szCs w:val="20"/>
        </w:rPr>
        <w:t xml:space="preserve">To understand the importance of a quality </w:t>
      </w:r>
      <w:r w:rsidRPr="00866894" w:rsidR="00D75BD5">
        <w:rPr>
          <w:rFonts w:ascii="Trebuchet MS" w:hAnsi="Trebuchet MS" w:cs="LilyUPC"/>
          <w:sz w:val="20"/>
          <w:szCs w:val="20"/>
        </w:rPr>
        <w:t xml:space="preserve">self-assessment </w:t>
      </w:r>
      <w:r w:rsidRPr="00866894" w:rsidR="00540ABC">
        <w:rPr>
          <w:rFonts w:ascii="Trebuchet MS" w:hAnsi="Trebuchet MS" w:cs="LilyUPC"/>
          <w:sz w:val="20"/>
          <w:szCs w:val="20"/>
        </w:rPr>
        <w:t xml:space="preserve">review </w:t>
      </w:r>
      <w:r w:rsidRPr="00866894" w:rsidR="00D75BD5">
        <w:rPr>
          <w:rFonts w:ascii="Trebuchet MS" w:hAnsi="Trebuchet MS" w:cs="LilyUPC"/>
          <w:sz w:val="20"/>
          <w:szCs w:val="20"/>
        </w:rPr>
        <w:t>as a tool to</w:t>
      </w:r>
      <w:r w:rsidRPr="00866894">
        <w:rPr>
          <w:rFonts w:ascii="Trebuchet MS" w:hAnsi="Trebuchet MS" w:cs="LilyUPC"/>
          <w:sz w:val="20"/>
          <w:szCs w:val="20"/>
        </w:rPr>
        <w:t xml:space="preserve"> driving quality and outcomes in </w:t>
      </w:r>
      <w:r w:rsidRPr="00866894" w:rsidR="00096B22">
        <w:rPr>
          <w:rFonts w:ascii="Trebuchet MS" w:hAnsi="Trebuchet MS" w:cs="LilyUPC"/>
          <w:sz w:val="20"/>
          <w:szCs w:val="20"/>
        </w:rPr>
        <w:t>a department</w:t>
      </w:r>
      <w:r w:rsidRPr="00866894" w:rsidR="001B72B2">
        <w:rPr>
          <w:rFonts w:ascii="Trebuchet MS" w:hAnsi="Trebuchet MS" w:cs="LilyUPC"/>
          <w:sz w:val="20"/>
          <w:szCs w:val="20"/>
        </w:rPr>
        <w:t xml:space="preserve"> and wider college</w:t>
      </w:r>
    </w:p>
    <w:p w:rsidRPr="00866894" w:rsidR="00096B22" w:rsidP="00F712D5" w:rsidRDefault="00347F0C" w14:paraId="721416CB" w14:textId="6FFC944D">
      <w:pPr>
        <w:numPr>
          <w:ilvl w:val="1"/>
          <w:numId w:val="1"/>
        </w:numPr>
        <w:spacing w:line="240" w:lineRule="auto"/>
        <w:ind w:left="1434" w:hanging="357"/>
        <w:contextualSpacing/>
        <w:rPr>
          <w:rFonts w:ascii="Trebuchet MS" w:hAnsi="Trebuchet MS" w:cs="LilyUPC"/>
          <w:sz w:val="20"/>
          <w:szCs w:val="20"/>
        </w:rPr>
      </w:pPr>
      <w:r w:rsidRPr="00866894">
        <w:rPr>
          <w:rFonts w:ascii="Trebuchet MS" w:hAnsi="Trebuchet MS" w:cs="LilyUPC"/>
          <w:sz w:val="20"/>
          <w:szCs w:val="20"/>
        </w:rPr>
        <w:t xml:space="preserve">To </w:t>
      </w:r>
      <w:r w:rsidRPr="00866894" w:rsidR="00A13119">
        <w:rPr>
          <w:rFonts w:ascii="Trebuchet MS" w:hAnsi="Trebuchet MS" w:cs="LilyUPC"/>
          <w:sz w:val="20"/>
          <w:szCs w:val="20"/>
        </w:rPr>
        <w:t>make connections between areas for development and the education inspection framework</w:t>
      </w:r>
    </w:p>
    <w:p w:rsidRPr="00866894" w:rsidR="00A13119" w:rsidP="00F712D5" w:rsidRDefault="00A13119" w14:paraId="47D22F74" w14:textId="1D7B6CB0">
      <w:pPr>
        <w:numPr>
          <w:ilvl w:val="1"/>
          <w:numId w:val="1"/>
        </w:numPr>
        <w:spacing w:line="240" w:lineRule="auto"/>
        <w:ind w:left="1434" w:hanging="357"/>
        <w:contextualSpacing/>
        <w:rPr>
          <w:rFonts w:ascii="Trebuchet MS" w:hAnsi="Trebuchet MS" w:cs="LilyUPC"/>
          <w:sz w:val="20"/>
          <w:szCs w:val="20"/>
        </w:rPr>
      </w:pPr>
      <w:r w:rsidRPr="00866894">
        <w:rPr>
          <w:rFonts w:ascii="Trebuchet MS" w:hAnsi="Trebuchet MS" w:cs="LilyUPC"/>
          <w:sz w:val="20"/>
          <w:szCs w:val="20"/>
        </w:rPr>
        <w:t xml:space="preserve">To effectively write a judgement statement </w:t>
      </w:r>
    </w:p>
    <w:p w:rsidRPr="00866894" w:rsidR="00386496" w:rsidP="00386496" w:rsidRDefault="00386496" w14:paraId="23054BE5" w14:textId="77777777">
      <w:pPr>
        <w:spacing w:line="240" w:lineRule="auto"/>
        <w:ind w:left="1434"/>
        <w:contextualSpacing/>
        <w:rPr>
          <w:rFonts w:ascii="Trebuchet MS" w:hAnsi="Trebuchet MS" w:cs="LilyUPC"/>
          <w:sz w:val="20"/>
          <w:szCs w:val="20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959"/>
        <w:gridCol w:w="9000"/>
        <w:gridCol w:w="781"/>
      </w:tblGrid>
      <w:tr w:rsidRPr="00866894" w:rsidR="005E5317" w:rsidTr="75AC003F" w14:paraId="47EA8000" w14:textId="0D84D47B">
        <w:tc>
          <w:tcPr>
            <w:tcW w:w="817" w:type="dxa"/>
            <w:tcMar/>
          </w:tcPr>
          <w:p w:rsidRPr="00866894" w:rsidR="003865D9" w:rsidRDefault="003865D9" w14:paraId="215DDCAA" w14:textId="6481A003">
            <w:pPr>
              <w:rPr>
                <w:rFonts w:ascii="Trebuchet MS" w:hAnsi="Trebuchet MS" w:cs="LilyUPC"/>
                <w:b/>
                <w:bCs/>
                <w:sz w:val="20"/>
                <w:szCs w:val="20"/>
              </w:rPr>
            </w:pPr>
            <w:r w:rsidRPr="00866894">
              <w:rPr>
                <w:rFonts w:ascii="Trebuchet MS" w:hAnsi="Trebuchet MS" w:cs="LilyUPC"/>
                <w:b/>
                <w:bCs/>
                <w:sz w:val="20"/>
                <w:szCs w:val="20"/>
              </w:rPr>
              <w:t>Approx. Timings</w:t>
            </w:r>
          </w:p>
        </w:tc>
        <w:tc>
          <w:tcPr>
            <w:tcW w:w="9141" w:type="dxa"/>
            <w:tcMar/>
          </w:tcPr>
          <w:p w:rsidRPr="00866894" w:rsidR="003865D9" w:rsidRDefault="003865D9" w14:paraId="28E72E5D" w14:textId="342F5D9A">
            <w:pPr>
              <w:rPr>
                <w:rFonts w:ascii="Trebuchet MS" w:hAnsi="Trebuchet MS" w:cs="LilyUPC"/>
                <w:b/>
                <w:bCs/>
                <w:sz w:val="20"/>
                <w:szCs w:val="20"/>
              </w:rPr>
            </w:pPr>
            <w:r w:rsidRPr="00866894">
              <w:rPr>
                <w:rFonts w:ascii="Trebuchet MS" w:hAnsi="Trebuchet MS" w:cs="LilyUPC"/>
                <w:b/>
                <w:bCs/>
                <w:sz w:val="20"/>
                <w:szCs w:val="20"/>
              </w:rPr>
              <w:t>Activity and Notes</w:t>
            </w:r>
          </w:p>
        </w:tc>
        <w:tc>
          <w:tcPr>
            <w:tcW w:w="782" w:type="dxa"/>
            <w:tcMar/>
          </w:tcPr>
          <w:p w:rsidRPr="00866894" w:rsidR="003865D9" w:rsidRDefault="003865D9" w14:paraId="3BD83C6A" w14:textId="561933A6">
            <w:pPr>
              <w:rPr>
                <w:rFonts w:ascii="Trebuchet MS" w:hAnsi="Trebuchet MS" w:cs="LilyUPC"/>
                <w:b/>
                <w:bCs/>
                <w:sz w:val="20"/>
                <w:szCs w:val="20"/>
              </w:rPr>
            </w:pPr>
            <w:r w:rsidRPr="00866894">
              <w:rPr>
                <w:rFonts w:ascii="Trebuchet MS" w:hAnsi="Trebuchet MS" w:cs="LilyUPC"/>
                <w:b/>
                <w:bCs/>
                <w:sz w:val="20"/>
                <w:szCs w:val="20"/>
              </w:rPr>
              <w:t xml:space="preserve">Slides </w:t>
            </w:r>
          </w:p>
        </w:tc>
      </w:tr>
      <w:tr w:rsidRPr="00866894" w:rsidR="005E5317" w:rsidTr="75AC003F" w14:paraId="32D44ABD" w14:textId="5074628E">
        <w:tc>
          <w:tcPr>
            <w:tcW w:w="817" w:type="dxa"/>
            <w:tcMar/>
          </w:tcPr>
          <w:p w:rsidRPr="00866894" w:rsidR="003865D9" w:rsidRDefault="003865D9" w14:paraId="0A3D4E27" w14:textId="7D80F57C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866894">
              <w:rPr>
                <w:rFonts w:ascii="Trebuchet MS" w:hAnsi="Trebuchet MS" w:cs="LilyUPC"/>
                <w:sz w:val="20"/>
                <w:szCs w:val="20"/>
              </w:rPr>
              <w:t>0-</w:t>
            </w:r>
            <w:r w:rsidRPr="00866894" w:rsidR="006A208F">
              <w:rPr>
                <w:rFonts w:ascii="Trebuchet MS" w:hAnsi="Trebuchet MS" w:cs="LilyUPC"/>
                <w:sz w:val="20"/>
                <w:szCs w:val="20"/>
              </w:rPr>
              <w:t xml:space="preserve">3 </w:t>
            </w:r>
            <w:r w:rsidRPr="00866894">
              <w:rPr>
                <w:rFonts w:ascii="Trebuchet MS" w:hAnsi="Trebuchet MS" w:cs="LilyUPC"/>
                <w:sz w:val="20"/>
                <w:szCs w:val="20"/>
              </w:rPr>
              <w:t>minutes</w:t>
            </w:r>
          </w:p>
        </w:tc>
        <w:tc>
          <w:tcPr>
            <w:tcW w:w="9141" w:type="dxa"/>
            <w:tcMar/>
          </w:tcPr>
          <w:p w:rsidRPr="00866894" w:rsidR="006A208F" w:rsidRDefault="006A208F" w14:paraId="1E8C789F" w14:textId="77777777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866894">
              <w:rPr>
                <w:rFonts w:ascii="Trebuchet MS" w:hAnsi="Trebuchet MS" w:cs="LilyUPC"/>
                <w:sz w:val="20"/>
                <w:szCs w:val="20"/>
              </w:rPr>
              <w:t>Starter:</w:t>
            </w:r>
          </w:p>
          <w:p w:rsidRPr="00866894" w:rsidR="0053726B" w:rsidP="006A208F" w:rsidRDefault="00AC3555" w14:paraId="6CEBF2F3" w14:textId="64655576">
            <w:pPr>
              <w:pStyle w:val="ListParagraph"/>
              <w:numPr>
                <w:ilvl w:val="0"/>
                <w:numId w:val="11"/>
              </w:numPr>
              <w:rPr>
                <w:rFonts w:ascii="Trebuchet MS" w:hAnsi="Trebuchet MS" w:cs="LilyUPC"/>
                <w:sz w:val="20"/>
                <w:szCs w:val="20"/>
              </w:rPr>
            </w:pPr>
            <w:r w:rsidRPr="00866894">
              <w:rPr>
                <w:rFonts w:ascii="Trebuchet MS" w:hAnsi="Trebuchet MS" w:cs="LilyUPC"/>
                <w:sz w:val="20"/>
                <w:szCs w:val="20"/>
              </w:rPr>
              <w:t>Why do we write a SAR</w:t>
            </w:r>
            <w:r w:rsidRPr="00866894" w:rsidR="00B222E6">
              <w:rPr>
                <w:rFonts w:ascii="Trebuchet MS" w:hAnsi="Trebuchet MS" w:cs="LilyUPC"/>
                <w:sz w:val="20"/>
                <w:szCs w:val="20"/>
              </w:rPr>
              <w:t>? What is the point? Ask staff to consider this for a moment and put their thoughts in the chat</w:t>
            </w:r>
            <w:r w:rsidRPr="00866894" w:rsidR="00F22A13">
              <w:rPr>
                <w:rFonts w:ascii="Trebuchet MS" w:hAnsi="Trebuchet MS" w:cs="LilyUPC"/>
                <w:sz w:val="20"/>
                <w:szCs w:val="20"/>
              </w:rPr>
              <w:t>/ post</w:t>
            </w:r>
            <w:r w:rsidRPr="00866894" w:rsidR="001277D2">
              <w:rPr>
                <w:rFonts w:ascii="Trebuchet MS" w:hAnsi="Trebuchet MS" w:cs="LilyUPC"/>
                <w:sz w:val="20"/>
                <w:szCs w:val="20"/>
              </w:rPr>
              <w:t>-</w:t>
            </w:r>
            <w:r w:rsidRPr="00866894" w:rsidR="00F22A13">
              <w:rPr>
                <w:rFonts w:ascii="Trebuchet MS" w:hAnsi="Trebuchet MS" w:cs="LilyUPC"/>
                <w:sz w:val="20"/>
                <w:szCs w:val="20"/>
              </w:rPr>
              <w:t xml:space="preserve">it note/ word cloud. </w:t>
            </w:r>
          </w:p>
        </w:tc>
        <w:tc>
          <w:tcPr>
            <w:tcW w:w="782" w:type="dxa"/>
            <w:tcMar/>
          </w:tcPr>
          <w:p w:rsidRPr="00866894" w:rsidR="003865D9" w:rsidRDefault="003865D9" w14:paraId="1BF5B283" w14:textId="12348BEC">
            <w:pPr>
              <w:rPr>
                <w:rFonts w:ascii="Trebuchet MS" w:hAnsi="Trebuchet MS" w:cs="LilyUPC"/>
                <w:sz w:val="20"/>
                <w:szCs w:val="20"/>
              </w:rPr>
            </w:pPr>
          </w:p>
        </w:tc>
      </w:tr>
      <w:tr w:rsidRPr="00866894" w:rsidR="005E5317" w:rsidTr="75AC003F" w14:paraId="5D39A988" w14:textId="6AC4C499">
        <w:tc>
          <w:tcPr>
            <w:tcW w:w="817" w:type="dxa"/>
            <w:tcMar/>
          </w:tcPr>
          <w:p w:rsidRPr="00866894" w:rsidR="003865D9" w:rsidRDefault="006A208F" w14:paraId="1544153F" w14:textId="2F68334C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866894">
              <w:rPr>
                <w:rFonts w:ascii="Trebuchet MS" w:hAnsi="Trebuchet MS" w:cs="LilyUPC"/>
                <w:sz w:val="20"/>
                <w:szCs w:val="20"/>
              </w:rPr>
              <w:t>3-5</w:t>
            </w:r>
            <w:r w:rsidRPr="00866894" w:rsidR="004C40AD">
              <w:rPr>
                <w:rFonts w:ascii="Trebuchet MS" w:hAnsi="Trebuchet MS" w:cs="LilyUPC"/>
                <w:sz w:val="20"/>
                <w:szCs w:val="20"/>
              </w:rPr>
              <w:t xml:space="preserve"> </w:t>
            </w:r>
            <w:r w:rsidRPr="00866894" w:rsidR="00AD2CA7">
              <w:rPr>
                <w:rFonts w:ascii="Trebuchet MS" w:hAnsi="Trebuchet MS" w:cs="LilyUPC"/>
                <w:sz w:val="20"/>
                <w:szCs w:val="20"/>
              </w:rPr>
              <w:t>minutes</w:t>
            </w:r>
          </w:p>
        </w:tc>
        <w:tc>
          <w:tcPr>
            <w:tcW w:w="9141" w:type="dxa"/>
            <w:tcMar/>
          </w:tcPr>
          <w:p w:rsidRPr="00866894" w:rsidR="004C40AD" w:rsidP="00F22A13" w:rsidRDefault="00CB2649" w14:paraId="6FEFCA88" w14:textId="3A959573">
            <w:pPr>
              <w:pStyle w:val="ListParagraph"/>
              <w:ind w:left="0"/>
              <w:rPr>
                <w:rFonts w:ascii="Trebuchet MS" w:hAnsi="Trebuchet MS" w:cs="LilyUPC"/>
                <w:sz w:val="20"/>
                <w:szCs w:val="20"/>
              </w:rPr>
            </w:pPr>
            <w:r w:rsidRPr="00866894">
              <w:rPr>
                <w:rFonts w:ascii="Trebuchet MS" w:hAnsi="Trebuchet MS" w:cs="LilyUPC"/>
                <w:sz w:val="20"/>
                <w:szCs w:val="20"/>
              </w:rPr>
              <w:t xml:space="preserve">Set out the intentions </w:t>
            </w:r>
          </w:p>
        </w:tc>
        <w:tc>
          <w:tcPr>
            <w:tcW w:w="782" w:type="dxa"/>
            <w:tcMar/>
          </w:tcPr>
          <w:p w:rsidRPr="00866894" w:rsidR="003865D9" w:rsidRDefault="003865D9" w14:paraId="19B710C7" w14:textId="001C97F4">
            <w:pPr>
              <w:rPr>
                <w:rFonts w:ascii="Trebuchet MS" w:hAnsi="Trebuchet MS" w:cs="LilyUPC"/>
                <w:sz w:val="20"/>
                <w:szCs w:val="20"/>
              </w:rPr>
            </w:pPr>
          </w:p>
        </w:tc>
      </w:tr>
      <w:tr w:rsidRPr="00866894" w:rsidR="005E5317" w:rsidTr="75AC003F" w14:paraId="453D50FA" w14:textId="4125CE80">
        <w:tc>
          <w:tcPr>
            <w:tcW w:w="817" w:type="dxa"/>
            <w:tcMar/>
          </w:tcPr>
          <w:p w:rsidRPr="00866894" w:rsidR="003865D9" w:rsidRDefault="006A208F" w14:paraId="0829B66E" w14:textId="671E6316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866894">
              <w:rPr>
                <w:rFonts w:ascii="Trebuchet MS" w:hAnsi="Trebuchet MS" w:cs="LilyUPC"/>
                <w:sz w:val="20"/>
                <w:szCs w:val="20"/>
              </w:rPr>
              <w:t>5-</w:t>
            </w:r>
            <w:r w:rsidR="00456F9F">
              <w:rPr>
                <w:rFonts w:ascii="Trebuchet MS" w:hAnsi="Trebuchet MS" w:cs="LilyUPC"/>
                <w:sz w:val="20"/>
                <w:szCs w:val="20"/>
              </w:rPr>
              <w:t>10</w:t>
            </w:r>
            <w:r w:rsidRPr="00866894" w:rsidR="002E2266">
              <w:rPr>
                <w:rFonts w:ascii="Trebuchet MS" w:hAnsi="Trebuchet MS" w:cs="LilyUPC"/>
                <w:sz w:val="20"/>
                <w:szCs w:val="20"/>
              </w:rPr>
              <w:t xml:space="preserve"> </w:t>
            </w:r>
            <w:r w:rsidRPr="00866894" w:rsidR="00AD2CA7">
              <w:rPr>
                <w:rFonts w:ascii="Trebuchet MS" w:hAnsi="Trebuchet MS" w:cs="LilyUPC"/>
                <w:sz w:val="20"/>
                <w:szCs w:val="20"/>
              </w:rPr>
              <w:t>minutes</w:t>
            </w:r>
          </w:p>
        </w:tc>
        <w:tc>
          <w:tcPr>
            <w:tcW w:w="9141" w:type="dxa"/>
            <w:tcMar/>
          </w:tcPr>
          <w:p w:rsidRPr="00866894" w:rsidR="00BB735A" w:rsidP="006F5C4A" w:rsidRDefault="00BB735A" w14:paraId="0D594B5D" w14:textId="77777777">
            <w:pPr>
              <w:pStyle w:val="ListParagraph"/>
              <w:ind w:left="0"/>
              <w:rPr>
                <w:rFonts w:ascii="Trebuchet MS" w:hAnsi="Trebuchet MS" w:cs="LilyUPC"/>
                <w:sz w:val="20"/>
                <w:szCs w:val="20"/>
              </w:rPr>
            </w:pPr>
            <w:r w:rsidRPr="00866894">
              <w:rPr>
                <w:rFonts w:ascii="Trebuchet MS" w:hAnsi="Trebuchet MS" w:cs="LilyUPC"/>
                <w:sz w:val="20"/>
                <w:szCs w:val="20"/>
              </w:rPr>
              <w:t>Discussion:</w:t>
            </w:r>
          </w:p>
          <w:p w:rsidRPr="00866894" w:rsidR="004476F9" w:rsidP="00BB735A" w:rsidRDefault="00BB735A" w14:paraId="64342808" w14:textId="77777777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 w:cs="LilyUPC"/>
                <w:sz w:val="20"/>
                <w:szCs w:val="20"/>
              </w:rPr>
            </w:pPr>
            <w:r w:rsidRPr="00866894">
              <w:rPr>
                <w:rFonts w:ascii="Trebuchet MS" w:hAnsi="Trebuchet MS" w:cs="LilyUPC"/>
                <w:sz w:val="20"/>
                <w:szCs w:val="20"/>
              </w:rPr>
              <w:t xml:space="preserve">Importance of the SAR to a programme/department/curriculum. </w:t>
            </w:r>
          </w:p>
          <w:p w:rsidRPr="00866894" w:rsidR="00E95DC7" w:rsidP="00BB735A" w:rsidRDefault="00E95DC7" w14:paraId="21EF599E" w14:textId="77777777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 w:cs="LilyUPC"/>
                <w:sz w:val="20"/>
                <w:szCs w:val="20"/>
              </w:rPr>
            </w:pPr>
            <w:r w:rsidRPr="00866894">
              <w:rPr>
                <w:rFonts w:ascii="Trebuchet MS" w:hAnsi="Trebuchet MS" w:cs="LilyUPC"/>
                <w:sz w:val="20"/>
                <w:szCs w:val="20"/>
              </w:rPr>
              <w:t>How each of the SARs impacts the next – driving towards a college/group SAR</w:t>
            </w:r>
          </w:p>
          <w:p w:rsidRPr="00866894" w:rsidR="00943C60" w:rsidP="00BB735A" w:rsidRDefault="00943C60" w14:paraId="43483C47" w14:textId="5548ED73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 w:cs="LilyUPC"/>
                <w:sz w:val="20"/>
                <w:szCs w:val="20"/>
              </w:rPr>
            </w:pPr>
            <w:r w:rsidRPr="00866894">
              <w:rPr>
                <w:rFonts w:ascii="Trebuchet MS" w:hAnsi="Trebuchet MS" w:cs="LilyUPC"/>
                <w:sz w:val="20"/>
                <w:szCs w:val="20"/>
              </w:rPr>
              <w:t xml:space="preserve">Identifies the areas on the quality improvement plan </w:t>
            </w:r>
            <w:r w:rsidRPr="00866894" w:rsidR="002E2266">
              <w:rPr>
                <w:rFonts w:ascii="Trebuchet MS" w:hAnsi="Trebuchet MS" w:cs="LilyUPC"/>
                <w:sz w:val="20"/>
                <w:szCs w:val="20"/>
              </w:rPr>
              <w:t xml:space="preserve">for the following year. </w:t>
            </w:r>
          </w:p>
        </w:tc>
        <w:tc>
          <w:tcPr>
            <w:tcW w:w="782" w:type="dxa"/>
            <w:tcMar/>
          </w:tcPr>
          <w:p w:rsidRPr="00866894" w:rsidR="003865D9" w:rsidRDefault="003865D9" w14:paraId="626FCA08" w14:textId="6287C2A0">
            <w:pPr>
              <w:rPr>
                <w:rFonts w:ascii="Trebuchet MS" w:hAnsi="Trebuchet MS" w:cs="LilyUPC"/>
                <w:sz w:val="20"/>
                <w:szCs w:val="20"/>
              </w:rPr>
            </w:pPr>
          </w:p>
        </w:tc>
      </w:tr>
      <w:tr w:rsidRPr="00866894" w:rsidR="005E5317" w:rsidTr="75AC003F" w14:paraId="1DA2EFA3" w14:textId="7FFCA47F">
        <w:tc>
          <w:tcPr>
            <w:tcW w:w="817" w:type="dxa"/>
            <w:tcMar/>
          </w:tcPr>
          <w:p w:rsidRPr="00866894" w:rsidR="004B1B97" w:rsidRDefault="00456F9F" w14:paraId="402C28B8" w14:textId="5052271D">
            <w:pPr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>10</w:t>
            </w:r>
            <w:r w:rsidRPr="00866894" w:rsidR="00D42319">
              <w:rPr>
                <w:rFonts w:ascii="Trebuchet MS" w:hAnsi="Trebuchet MS" w:cs="LilyUPC"/>
                <w:sz w:val="20"/>
                <w:szCs w:val="20"/>
              </w:rPr>
              <w:t>-</w:t>
            </w:r>
            <w:r>
              <w:rPr>
                <w:rFonts w:ascii="Trebuchet MS" w:hAnsi="Trebuchet MS" w:cs="LilyUPC"/>
                <w:sz w:val="20"/>
                <w:szCs w:val="20"/>
              </w:rPr>
              <w:t>20</w:t>
            </w:r>
          </w:p>
          <w:p w:rsidRPr="00866894" w:rsidR="003865D9" w:rsidRDefault="00263954" w14:paraId="5C5850D9" w14:textId="27E2BAFC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866894">
              <w:rPr>
                <w:rFonts w:ascii="Trebuchet MS" w:hAnsi="Trebuchet MS" w:cs="LilyUPC"/>
                <w:sz w:val="20"/>
                <w:szCs w:val="20"/>
              </w:rPr>
              <w:t>minutes</w:t>
            </w:r>
          </w:p>
        </w:tc>
        <w:tc>
          <w:tcPr>
            <w:tcW w:w="9141" w:type="dxa"/>
            <w:tcMar/>
          </w:tcPr>
          <w:p w:rsidRPr="00866894" w:rsidR="00A130C8" w:rsidP="00B41941" w:rsidRDefault="0021627E" w14:paraId="69E1BC2E" w14:textId="54EC90F6">
            <w:pPr>
              <w:pStyle w:val="ListParagraph"/>
              <w:ind w:left="0"/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 xml:space="preserve">Activity: </w:t>
            </w:r>
            <w:r w:rsidRPr="00866894" w:rsidR="00D42319">
              <w:rPr>
                <w:rFonts w:ascii="Trebuchet MS" w:hAnsi="Trebuchet MS" w:cs="LilyUPC"/>
                <w:sz w:val="20"/>
                <w:szCs w:val="20"/>
              </w:rPr>
              <w:t>Self</w:t>
            </w:r>
            <w:r w:rsidRPr="00866894" w:rsidR="00C66ACC">
              <w:rPr>
                <w:rFonts w:ascii="Trebuchet MS" w:hAnsi="Trebuchet MS" w:cs="LilyUPC"/>
                <w:sz w:val="20"/>
                <w:szCs w:val="20"/>
              </w:rPr>
              <w:t>-</w:t>
            </w:r>
            <w:r w:rsidRPr="00866894" w:rsidR="00D42319">
              <w:rPr>
                <w:rFonts w:ascii="Trebuchet MS" w:hAnsi="Trebuchet MS" w:cs="LilyUPC"/>
                <w:sz w:val="20"/>
                <w:szCs w:val="20"/>
              </w:rPr>
              <w:t xml:space="preserve">assessment against the </w:t>
            </w:r>
            <w:r w:rsidRPr="00866894" w:rsidR="00CF4B90">
              <w:rPr>
                <w:rFonts w:ascii="Trebuchet MS" w:hAnsi="Trebuchet MS" w:cs="LilyUPC"/>
                <w:sz w:val="20"/>
                <w:szCs w:val="20"/>
              </w:rPr>
              <w:t>Education Inspection Framework:</w:t>
            </w:r>
          </w:p>
          <w:p w:rsidRPr="00866894" w:rsidR="00CF4B90" w:rsidP="00792011" w:rsidRDefault="00792011" w14:paraId="2525A718" w14:textId="77777777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 w:cs="LilyUPC"/>
                <w:sz w:val="20"/>
                <w:szCs w:val="20"/>
              </w:rPr>
            </w:pPr>
            <w:r w:rsidRPr="00866894">
              <w:rPr>
                <w:rFonts w:ascii="Trebuchet MS" w:hAnsi="Trebuchet MS" w:cs="LilyUPC"/>
                <w:sz w:val="20"/>
                <w:szCs w:val="20"/>
              </w:rPr>
              <w:t xml:space="preserve">In groups of 4/5, allocate groups one of the 4 areas of the framework. </w:t>
            </w:r>
          </w:p>
          <w:p w:rsidRPr="00866894" w:rsidR="00792011" w:rsidP="00792011" w:rsidRDefault="00792011" w14:paraId="1E97021A" w14:textId="50C4EA20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 w:cs="LilyUPC"/>
                <w:sz w:val="20"/>
                <w:szCs w:val="20"/>
              </w:rPr>
            </w:pPr>
            <w:r w:rsidRPr="00866894">
              <w:rPr>
                <w:rFonts w:ascii="Trebuchet MS" w:hAnsi="Trebuchet MS" w:cs="LilyUPC"/>
                <w:sz w:val="20"/>
                <w:szCs w:val="20"/>
              </w:rPr>
              <w:t>What</w:t>
            </w:r>
            <w:r w:rsidRPr="00866894" w:rsidR="00192E20">
              <w:rPr>
                <w:rFonts w:ascii="Trebuchet MS" w:hAnsi="Trebuchet MS" w:cs="LilyUPC"/>
                <w:sz w:val="20"/>
                <w:szCs w:val="20"/>
              </w:rPr>
              <w:t xml:space="preserve"> </w:t>
            </w:r>
            <w:r w:rsidRPr="00866894" w:rsidR="003C4A3D">
              <w:rPr>
                <w:rFonts w:ascii="Trebuchet MS" w:hAnsi="Trebuchet MS" w:cs="LilyUPC"/>
                <w:sz w:val="20"/>
                <w:szCs w:val="20"/>
              </w:rPr>
              <w:t xml:space="preserve">are we looking at in this part of the inspection framework? </w:t>
            </w:r>
          </w:p>
          <w:p w:rsidRPr="00866894" w:rsidR="004F265E" w:rsidP="00792011" w:rsidRDefault="004F265E" w14:paraId="62960E66" w14:textId="4DD80CEA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 w:cs="LilyUPC"/>
                <w:sz w:val="20"/>
                <w:szCs w:val="20"/>
              </w:rPr>
            </w:pPr>
            <w:r w:rsidRPr="00866894">
              <w:rPr>
                <w:rFonts w:ascii="Trebuchet MS" w:hAnsi="Trebuchet MS" w:cs="LilyUPC"/>
                <w:sz w:val="20"/>
                <w:szCs w:val="20"/>
              </w:rPr>
              <w:t xml:space="preserve">What examples/data/facts could we pull upon to make a judgement in this </w:t>
            </w:r>
            <w:r w:rsidRPr="00866894" w:rsidR="002C47B2">
              <w:rPr>
                <w:rFonts w:ascii="Trebuchet MS" w:hAnsi="Trebuchet MS" w:cs="LilyUPC"/>
                <w:sz w:val="20"/>
                <w:szCs w:val="20"/>
              </w:rPr>
              <w:t>strand</w:t>
            </w:r>
            <w:r w:rsidRPr="00866894">
              <w:rPr>
                <w:rFonts w:ascii="Trebuchet MS" w:hAnsi="Trebuchet MS" w:cs="LilyUPC"/>
                <w:sz w:val="20"/>
                <w:szCs w:val="20"/>
              </w:rPr>
              <w:t>?</w:t>
            </w:r>
          </w:p>
          <w:p w:rsidRPr="00866894" w:rsidR="004F265E" w:rsidP="00792011" w:rsidRDefault="0084189B" w14:paraId="6D640F2D" w14:textId="77777777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 w:cs="LilyUPC"/>
                <w:sz w:val="20"/>
                <w:szCs w:val="20"/>
              </w:rPr>
            </w:pPr>
            <w:r w:rsidRPr="00866894">
              <w:rPr>
                <w:rFonts w:ascii="Trebuchet MS" w:hAnsi="Trebuchet MS" w:cs="LilyUPC"/>
                <w:sz w:val="20"/>
                <w:szCs w:val="20"/>
              </w:rPr>
              <w:t xml:space="preserve">Discuss </w:t>
            </w:r>
            <w:r w:rsidRPr="00866894" w:rsidR="002C47B2">
              <w:rPr>
                <w:rFonts w:ascii="Trebuchet MS" w:hAnsi="Trebuchet MS" w:cs="LilyUPC"/>
                <w:sz w:val="20"/>
                <w:szCs w:val="20"/>
              </w:rPr>
              <w:t>honestly in the group, what are your areas for development in this strand</w:t>
            </w:r>
            <w:r w:rsidRPr="00866894" w:rsidR="00655DE0">
              <w:rPr>
                <w:rFonts w:ascii="Trebuchet MS" w:hAnsi="Trebuchet MS" w:cs="LilyUPC"/>
                <w:sz w:val="20"/>
                <w:szCs w:val="20"/>
              </w:rPr>
              <w:t xml:space="preserve"> and how do you know this (what is the example/data/facts that you pull upon?)</w:t>
            </w:r>
          </w:p>
          <w:p w:rsidRPr="00866894" w:rsidR="00C24AE0" w:rsidP="00792011" w:rsidRDefault="00C24AE0" w14:paraId="4322805B" w14:textId="08D28D50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 w:cs="LilyUPC"/>
                <w:sz w:val="20"/>
                <w:szCs w:val="20"/>
              </w:rPr>
            </w:pPr>
            <w:r w:rsidRPr="00866894">
              <w:rPr>
                <w:rFonts w:ascii="Trebuchet MS" w:hAnsi="Trebuchet MS" w:cs="LilyUPC"/>
                <w:sz w:val="20"/>
                <w:szCs w:val="20"/>
              </w:rPr>
              <w:t>Group to make notes and collate thoughts/discussion on the padlet/flipchart paper.</w:t>
            </w:r>
          </w:p>
        </w:tc>
        <w:tc>
          <w:tcPr>
            <w:tcW w:w="782" w:type="dxa"/>
            <w:tcMar/>
          </w:tcPr>
          <w:p w:rsidRPr="00866894" w:rsidR="003865D9" w:rsidRDefault="003865D9" w14:paraId="1A3F9779" w14:textId="036E108D">
            <w:pPr>
              <w:rPr>
                <w:rFonts w:ascii="Trebuchet MS" w:hAnsi="Trebuchet MS" w:cs="LilyUPC"/>
                <w:sz w:val="20"/>
                <w:szCs w:val="20"/>
              </w:rPr>
            </w:pPr>
          </w:p>
        </w:tc>
      </w:tr>
      <w:tr w:rsidRPr="00866894" w:rsidR="005E5317" w:rsidTr="75AC003F" w14:paraId="31BE6834" w14:textId="0170B7E8">
        <w:tc>
          <w:tcPr>
            <w:tcW w:w="817" w:type="dxa"/>
            <w:tcMar/>
          </w:tcPr>
          <w:p w:rsidRPr="00866894" w:rsidR="003865D9" w:rsidRDefault="00456F9F" w14:paraId="0ED00C1F" w14:textId="127C6E35">
            <w:pPr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 xml:space="preserve">20-30 </w:t>
            </w:r>
            <w:r w:rsidRPr="00866894" w:rsidR="00032806">
              <w:rPr>
                <w:rFonts w:ascii="Trebuchet MS" w:hAnsi="Trebuchet MS" w:cs="LilyUPC"/>
                <w:sz w:val="20"/>
                <w:szCs w:val="20"/>
              </w:rPr>
              <w:t>minutes</w:t>
            </w:r>
          </w:p>
        </w:tc>
        <w:tc>
          <w:tcPr>
            <w:tcW w:w="9141" w:type="dxa"/>
            <w:tcMar/>
          </w:tcPr>
          <w:p w:rsidRPr="00866894" w:rsidR="00B6448A" w:rsidP="00C76D74" w:rsidRDefault="00655DE0" w14:paraId="5E6DB4D0" w14:textId="1083DA68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866894">
              <w:rPr>
                <w:rFonts w:ascii="Trebuchet MS" w:hAnsi="Trebuchet MS" w:cs="LilyUPC"/>
                <w:sz w:val="20"/>
                <w:szCs w:val="20"/>
              </w:rPr>
              <w:t>Feedback and share</w:t>
            </w:r>
            <w:r w:rsidRPr="00866894" w:rsidR="00C24AE0">
              <w:rPr>
                <w:rFonts w:ascii="Trebuchet MS" w:hAnsi="Trebuchet MS" w:cs="LilyUPC"/>
                <w:sz w:val="20"/>
                <w:szCs w:val="20"/>
              </w:rPr>
              <w:t>.</w:t>
            </w:r>
          </w:p>
        </w:tc>
        <w:tc>
          <w:tcPr>
            <w:tcW w:w="782" w:type="dxa"/>
            <w:tcMar/>
          </w:tcPr>
          <w:p w:rsidRPr="00866894" w:rsidR="003865D9" w:rsidRDefault="003865D9" w14:paraId="5C4BE425" w14:textId="60046E9C">
            <w:pPr>
              <w:rPr>
                <w:rFonts w:ascii="Trebuchet MS" w:hAnsi="Trebuchet MS" w:cs="LilyUPC"/>
                <w:sz w:val="20"/>
                <w:szCs w:val="20"/>
              </w:rPr>
            </w:pPr>
          </w:p>
        </w:tc>
      </w:tr>
      <w:tr w:rsidRPr="00866894" w:rsidR="005E5317" w:rsidTr="75AC003F" w14:paraId="3F6FB7C6" w14:textId="77777777">
        <w:tc>
          <w:tcPr>
            <w:tcW w:w="817" w:type="dxa"/>
            <w:tcMar/>
          </w:tcPr>
          <w:p w:rsidRPr="00866894" w:rsidR="005E5317" w:rsidRDefault="00456F9F" w14:paraId="122C687A" w14:textId="2D6DEB9F">
            <w:pPr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>30-35</w:t>
            </w:r>
          </w:p>
        </w:tc>
        <w:tc>
          <w:tcPr>
            <w:tcW w:w="9141" w:type="dxa"/>
            <w:tcMar/>
          </w:tcPr>
          <w:p w:rsidRPr="00866894" w:rsidR="005E5317" w:rsidP="00C76D74" w:rsidRDefault="00754BB9" w14:paraId="029CABEC" w14:textId="0245329E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866894">
              <w:rPr>
                <w:rFonts w:ascii="Trebuchet MS" w:hAnsi="Trebuchet MS" w:cs="LilyUPC"/>
                <w:sz w:val="20"/>
                <w:szCs w:val="20"/>
              </w:rPr>
              <w:t xml:space="preserve">Discussion: So, what makes a well written judgement statement. </w:t>
            </w:r>
            <w:r w:rsidRPr="00C25366" w:rsidR="00C25366">
              <w:rPr>
                <w:rFonts w:ascii="Trebuchet MS" w:hAnsi="Trebuchet MS" w:cs="LilyUPC"/>
                <w:sz w:val="20"/>
                <w:szCs w:val="20"/>
                <w:highlight w:val="green"/>
              </w:rPr>
              <w:t>j</w:t>
            </w:r>
            <w:r w:rsidRPr="00866894" w:rsidR="00866894">
              <w:rPr>
                <w:rFonts w:ascii="Tahoma" w:hAnsi="Tahoma" w:cs="Tahoma"/>
                <w:sz w:val="20"/>
                <w:szCs w:val="20"/>
                <w:highlight w:val="green"/>
                <w:shd w:val="clear" w:color="auto" w:fill="00B050"/>
                <w:lang w:eastAsia="en-GB"/>
              </w:rPr>
              <w:t>udgement</w:t>
            </w:r>
            <w:r w:rsidRPr="00866894" w:rsidR="00866894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, </w:t>
            </w:r>
            <w:r w:rsidRPr="00866894" w:rsidR="00866894">
              <w:rPr>
                <w:rFonts w:ascii="Tahoma" w:hAnsi="Tahoma" w:cs="Tahoma"/>
                <w:sz w:val="20"/>
                <w:szCs w:val="20"/>
                <w:shd w:val="clear" w:color="auto" w:fill="FFFF00"/>
                <w:lang w:eastAsia="en-GB"/>
              </w:rPr>
              <w:t>effect</w:t>
            </w:r>
            <w:r w:rsidRPr="00866894" w:rsidR="00866894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, </w:t>
            </w:r>
            <w:r w:rsidRPr="00866894" w:rsidR="00866894">
              <w:rPr>
                <w:rFonts w:ascii="Tahoma" w:hAnsi="Tahoma" w:cs="Tahoma"/>
                <w:sz w:val="20"/>
                <w:szCs w:val="20"/>
                <w:highlight w:val="cyan"/>
                <w:shd w:val="clear" w:color="auto" w:fill="00B0F0"/>
                <w:lang w:eastAsia="en-GB"/>
              </w:rPr>
              <w:t>example</w:t>
            </w:r>
            <w:r w:rsidRPr="00866894" w:rsidR="00866894">
              <w:rPr>
                <w:rFonts w:ascii="Tahoma" w:hAnsi="Tahoma" w:cs="Tahoma"/>
                <w:sz w:val="20"/>
                <w:szCs w:val="20"/>
                <w:shd w:val="clear" w:color="auto" w:fill="00B0F0"/>
                <w:lang w:eastAsia="en-GB"/>
              </w:rPr>
              <w:t xml:space="preserve"> </w:t>
            </w:r>
            <w:r w:rsidRPr="00866894" w:rsidR="00866894">
              <w:rPr>
                <w:rFonts w:ascii="Tahoma" w:hAnsi="Tahoma" w:cs="Tahoma"/>
                <w:sz w:val="20"/>
                <w:szCs w:val="20"/>
                <w:lang w:eastAsia="en-GB"/>
              </w:rPr>
              <w:t>(evidence)</w:t>
            </w:r>
          </w:p>
          <w:p w:rsidRPr="00866894" w:rsidR="00754BB9" w:rsidP="00754BB9" w:rsidRDefault="00754BB9" w14:paraId="57920DEA" w14:textId="77777777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 w:cs="LilyUPC"/>
                <w:sz w:val="20"/>
                <w:szCs w:val="20"/>
              </w:rPr>
            </w:pPr>
            <w:r w:rsidRPr="00866894">
              <w:rPr>
                <w:rFonts w:ascii="Trebuchet MS" w:hAnsi="Trebuchet MS" w:cs="LilyUPC"/>
                <w:sz w:val="20"/>
                <w:szCs w:val="20"/>
              </w:rPr>
              <w:t xml:space="preserve">Work through the importance of writing SARs using judgement statements. </w:t>
            </w:r>
          </w:p>
          <w:p w:rsidRPr="004E084B" w:rsidR="00C22829" w:rsidP="004E084B" w:rsidRDefault="00754BB9" w14:paraId="4CB0D46E" w14:textId="289BB23E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 w:cs="LilyUPC"/>
                <w:sz w:val="20"/>
                <w:szCs w:val="20"/>
              </w:rPr>
            </w:pPr>
            <w:r w:rsidRPr="00866894">
              <w:rPr>
                <w:rFonts w:ascii="Trebuchet MS" w:hAnsi="Trebuchet MS" w:cs="LilyUPC"/>
                <w:sz w:val="20"/>
                <w:szCs w:val="20"/>
              </w:rPr>
              <w:t>Share a few examples and take vote on are they/aren’t they effective judgement statements</w:t>
            </w:r>
            <w:r w:rsidR="00866894">
              <w:rPr>
                <w:rFonts w:ascii="Trebuchet MS" w:hAnsi="Trebuchet MS" w:cs="LilyUPC"/>
                <w:sz w:val="20"/>
                <w:szCs w:val="20"/>
              </w:rPr>
              <w:t xml:space="preserve">. </w:t>
            </w:r>
          </w:p>
        </w:tc>
        <w:tc>
          <w:tcPr>
            <w:tcW w:w="782" w:type="dxa"/>
            <w:tcMar/>
          </w:tcPr>
          <w:p w:rsidRPr="00866894" w:rsidR="005E5317" w:rsidRDefault="005E5317" w14:paraId="36D25E12" w14:textId="77777777">
            <w:pPr>
              <w:rPr>
                <w:rFonts w:ascii="Trebuchet MS" w:hAnsi="Trebuchet MS" w:cs="LilyUPC"/>
                <w:sz w:val="20"/>
                <w:szCs w:val="20"/>
              </w:rPr>
            </w:pPr>
          </w:p>
        </w:tc>
      </w:tr>
      <w:tr w:rsidRPr="00866894" w:rsidR="006D5B37" w:rsidTr="75AC003F" w14:paraId="6C0BF6B1" w14:textId="77777777">
        <w:tc>
          <w:tcPr>
            <w:tcW w:w="817" w:type="dxa"/>
            <w:tcMar/>
          </w:tcPr>
          <w:p w:rsidRPr="00866894" w:rsidR="006D5B37" w:rsidRDefault="00456F9F" w14:paraId="5401DCEB" w14:textId="61A9E4B8">
            <w:pPr>
              <w:rPr>
                <w:rFonts w:ascii="Trebuchet MS" w:hAnsi="Trebuchet MS" w:cs="LilyUPC"/>
                <w:sz w:val="20"/>
                <w:szCs w:val="20"/>
              </w:rPr>
            </w:pPr>
            <w:r w:rsidRPr="75AC003F" w:rsidR="00456F9F">
              <w:rPr>
                <w:rFonts w:ascii="Trebuchet MS" w:hAnsi="Trebuchet MS" w:cs="LilyUPC"/>
                <w:sz w:val="20"/>
                <w:szCs w:val="20"/>
              </w:rPr>
              <w:t>35-50</w:t>
            </w:r>
          </w:p>
        </w:tc>
        <w:tc>
          <w:tcPr>
            <w:tcW w:w="9141" w:type="dxa"/>
            <w:tcMar/>
          </w:tcPr>
          <w:p w:rsidR="00841A33" w:rsidP="00841A33" w:rsidRDefault="0021627E" w14:paraId="29B514AA" w14:textId="435B3BC7">
            <w:pPr>
              <w:pStyle w:val="ListParagraph"/>
              <w:spacing w:after="160" w:line="259" w:lineRule="auto"/>
              <w:ind w:left="0"/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>Activity, j</w:t>
            </w:r>
            <w:r w:rsidR="00841A33">
              <w:rPr>
                <w:rFonts w:ascii="Trebuchet MS" w:hAnsi="Trebuchet MS" w:cs="LilyUPC"/>
                <w:sz w:val="20"/>
                <w:szCs w:val="20"/>
              </w:rPr>
              <w:t>udgement statement</w:t>
            </w:r>
            <w:r>
              <w:rPr>
                <w:rFonts w:ascii="Trebuchet MS" w:hAnsi="Trebuchet MS" w:cs="LilyUPC"/>
                <w:sz w:val="20"/>
                <w:szCs w:val="20"/>
              </w:rPr>
              <w:t>:</w:t>
            </w:r>
          </w:p>
          <w:p w:rsidR="00841A33" w:rsidP="00841A33" w:rsidRDefault="00841A33" w14:paraId="2270DEC1" w14:textId="05A518CD">
            <w:pPr>
              <w:pStyle w:val="ListParagraph"/>
              <w:spacing w:after="160" w:line="259" w:lineRule="auto"/>
              <w:ind w:left="0"/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>Back into groups, give a series of “SAR Judgements” to the group. Ask them to read all of them and:</w:t>
            </w:r>
          </w:p>
          <w:p w:rsidRPr="00841A33" w:rsidR="00841A33" w:rsidP="00841A33" w:rsidRDefault="00841A33" w14:paraId="6CED34D1" w14:textId="14B26C0A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Trebuchet MS" w:hAnsi="Trebuchet MS" w:cs="LilyUPC"/>
                <w:sz w:val="20"/>
                <w:szCs w:val="20"/>
              </w:rPr>
            </w:pPr>
            <w:r w:rsidRPr="00C22829">
              <w:rPr>
                <w:rFonts w:ascii="Trebuchet MS" w:hAnsi="Trebuchet MS" w:cs="LilyUPC"/>
                <w:sz w:val="20"/>
                <w:szCs w:val="20"/>
              </w:rPr>
              <w:t xml:space="preserve">Is it written as an effective judgement statement with </w:t>
            </w:r>
            <w:r w:rsidRPr="00C25366" w:rsidR="00C25366">
              <w:rPr>
                <w:rFonts w:ascii="Trebuchet MS" w:hAnsi="Trebuchet MS" w:cs="LilyUPC"/>
                <w:sz w:val="20"/>
                <w:szCs w:val="20"/>
                <w:highlight w:val="green"/>
              </w:rPr>
              <w:t>Ju</w:t>
            </w:r>
            <w:r w:rsidRPr="00C25366">
              <w:rPr>
                <w:rFonts w:ascii="Tahoma" w:hAnsi="Tahoma" w:cs="Tahoma"/>
                <w:sz w:val="20"/>
                <w:szCs w:val="20"/>
                <w:highlight w:val="green"/>
                <w:shd w:val="clear" w:color="auto" w:fill="00B050"/>
                <w:lang w:eastAsia="en-GB"/>
              </w:rPr>
              <w:t>dgement</w:t>
            </w:r>
            <w:r w:rsidRPr="00C22829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, </w:t>
            </w:r>
            <w:r w:rsidRPr="00C22829">
              <w:rPr>
                <w:rFonts w:ascii="Tahoma" w:hAnsi="Tahoma" w:cs="Tahoma"/>
                <w:sz w:val="20"/>
                <w:szCs w:val="20"/>
                <w:shd w:val="clear" w:color="auto" w:fill="FFFF00"/>
                <w:lang w:eastAsia="en-GB"/>
              </w:rPr>
              <w:t>effect</w:t>
            </w:r>
            <w:r w:rsidRPr="00C22829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, </w:t>
            </w:r>
            <w:r w:rsidRPr="00C22829">
              <w:rPr>
                <w:rFonts w:ascii="Tahoma" w:hAnsi="Tahoma" w:cs="Tahoma"/>
                <w:sz w:val="20"/>
                <w:szCs w:val="20"/>
                <w:highlight w:val="cyan"/>
                <w:shd w:val="clear" w:color="auto" w:fill="00B0F0"/>
                <w:lang w:eastAsia="en-GB"/>
              </w:rPr>
              <w:t>example</w:t>
            </w:r>
            <w:r w:rsidR="000E40B2">
              <w:rPr>
                <w:rFonts w:ascii="Tahoma" w:hAnsi="Tahoma" w:cs="Tahoma"/>
                <w:sz w:val="20"/>
                <w:szCs w:val="20"/>
                <w:shd w:val="clear" w:color="auto" w:fill="00B0F0"/>
                <w:lang w:eastAsia="en-GB"/>
              </w:rPr>
              <w:t xml:space="preserve"> </w:t>
            </w:r>
            <w:r w:rsidRPr="00C22829">
              <w:rPr>
                <w:rFonts w:ascii="Tahoma" w:hAnsi="Tahoma" w:cs="Tahoma"/>
                <w:sz w:val="20"/>
                <w:szCs w:val="20"/>
                <w:lang w:eastAsia="en-GB"/>
              </w:rPr>
              <w:t>(evidence</w:t>
            </w:r>
            <w:r w:rsidR="00C25366">
              <w:rPr>
                <w:rFonts w:ascii="Tahoma" w:hAnsi="Tahoma" w:cs="Tahoma"/>
                <w:sz w:val="20"/>
                <w:szCs w:val="20"/>
                <w:lang w:eastAsia="en-GB"/>
              </w:rPr>
              <w:t>)</w:t>
            </w:r>
            <w:r w:rsidR="000E40B2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If not, as a group, try re writing the statement. </w:t>
            </w:r>
          </w:p>
          <w:p w:rsidR="000E40B2" w:rsidP="000E40B2" w:rsidRDefault="00841A33" w14:paraId="66939595" w14:textId="77777777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Trebuchet MS" w:hAnsi="Trebuchet MS" w:cs="LilyUPC"/>
                <w:sz w:val="20"/>
                <w:szCs w:val="20"/>
              </w:rPr>
            </w:pPr>
            <w:r w:rsidRPr="00841A33">
              <w:rPr>
                <w:rFonts w:ascii="Trebuchet MS" w:hAnsi="Trebuchet MS" w:cs="LilyUPC"/>
                <w:sz w:val="20"/>
                <w:szCs w:val="20"/>
              </w:rPr>
              <w:t xml:space="preserve">Does it clearly identify what needs to improve, what </w:t>
            </w:r>
            <w:r>
              <w:rPr>
                <w:rFonts w:ascii="Trebuchet MS" w:hAnsi="Trebuchet MS" w:cs="LilyUPC"/>
                <w:sz w:val="20"/>
                <w:szCs w:val="20"/>
              </w:rPr>
              <w:t>might</w:t>
            </w:r>
            <w:r w:rsidRPr="00841A33">
              <w:rPr>
                <w:rFonts w:ascii="Trebuchet MS" w:hAnsi="Trebuchet MS" w:cs="LilyUPC"/>
                <w:sz w:val="20"/>
                <w:szCs w:val="20"/>
              </w:rPr>
              <w:t xml:space="preserve"> you put into a QIP to improve it?</w:t>
            </w:r>
          </w:p>
          <w:p w:rsidRPr="000E40B2" w:rsidR="000E40B2" w:rsidP="000E40B2" w:rsidRDefault="000E40B2" w14:paraId="66851855" w14:textId="7CD8A251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 xml:space="preserve">If time allows, can you answer the questions outlined in activity 1? (What area of the </w:t>
            </w:r>
            <w:proofErr w:type="spellStart"/>
            <w:r>
              <w:rPr>
                <w:rFonts w:ascii="Trebuchet MS" w:hAnsi="Trebuchet MS" w:cs="LilyUPC"/>
                <w:sz w:val="20"/>
                <w:szCs w:val="20"/>
              </w:rPr>
              <w:t>EiF</w:t>
            </w:r>
            <w:proofErr w:type="spellEnd"/>
            <w:r>
              <w:rPr>
                <w:rFonts w:ascii="Trebuchet MS" w:hAnsi="Trebuchet MS" w:cs="LilyUPC"/>
                <w:sz w:val="20"/>
                <w:szCs w:val="20"/>
              </w:rPr>
              <w:t xml:space="preserve"> might this statement belong to, what further evidence could be pulled on to use as an example/impact, </w:t>
            </w:r>
            <w:r w:rsidR="007916E8">
              <w:rPr>
                <w:rFonts w:ascii="Trebuchet MS" w:hAnsi="Trebuchet MS" w:cs="LilyUPC"/>
                <w:sz w:val="20"/>
                <w:szCs w:val="20"/>
              </w:rPr>
              <w:t>compare the statement to your programmes)</w:t>
            </w:r>
          </w:p>
        </w:tc>
        <w:tc>
          <w:tcPr>
            <w:tcW w:w="782" w:type="dxa"/>
            <w:tcMar/>
          </w:tcPr>
          <w:p w:rsidRPr="00866894" w:rsidR="006D5B37" w:rsidRDefault="006D5B37" w14:paraId="1B03637A" w14:textId="77777777">
            <w:pPr>
              <w:rPr>
                <w:rFonts w:ascii="Trebuchet MS" w:hAnsi="Trebuchet MS" w:cs="LilyUPC"/>
                <w:sz w:val="20"/>
                <w:szCs w:val="20"/>
              </w:rPr>
            </w:pPr>
          </w:p>
        </w:tc>
      </w:tr>
      <w:tr w:rsidRPr="00866894" w:rsidR="005E5317" w:rsidTr="75AC003F" w14:paraId="105DBF72" w14:textId="25CD3E11">
        <w:tc>
          <w:tcPr>
            <w:tcW w:w="817" w:type="dxa"/>
            <w:tcMar/>
          </w:tcPr>
          <w:p w:rsidRPr="00866894" w:rsidR="003865D9" w:rsidP="75AC003F" w:rsidRDefault="00456F9F" w14:paraId="70B06828" w14:textId="688BC2B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rebuchet MS" w:hAnsi="Trebuchet MS" w:cs="LilyUPC"/>
                <w:sz w:val="20"/>
                <w:szCs w:val="20"/>
              </w:rPr>
            </w:pPr>
            <w:r w:rsidRPr="75AC003F" w:rsidR="75AC003F">
              <w:rPr>
                <w:rFonts w:ascii="Trebuchet MS" w:hAnsi="Trebuchet MS" w:cs="LilyUPC"/>
                <w:sz w:val="20"/>
                <w:szCs w:val="20"/>
              </w:rPr>
              <w:t>50-65</w:t>
            </w:r>
          </w:p>
        </w:tc>
        <w:tc>
          <w:tcPr>
            <w:tcW w:w="9141" w:type="dxa"/>
            <w:tcMar/>
          </w:tcPr>
          <w:p w:rsidRPr="00866894" w:rsidR="00AB2A24" w:rsidRDefault="008474D7" w14:paraId="3A98BB7F" w14:textId="35EE5EAA">
            <w:pPr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>Share and discuss 1 example per group.</w:t>
            </w:r>
          </w:p>
        </w:tc>
        <w:tc>
          <w:tcPr>
            <w:tcW w:w="782" w:type="dxa"/>
            <w:tcMar/>
          </w:tcPr>
          <w:p w:rsidRPr="00866894" w:rsidR="003865D9" w:rsidRDefault="003865D9" w14:paraId="4DD2C966" w14:textId="5011D60A">
            <w:pPr>
              <w:rPr>
                <w:rFonts w:ascii="Trebuchet MS" w:hAnsi="Trebuchet MS" w:cs="LilyUPC"/>
                <w:sz w:val="20"/>
                <w:szCs w:val="20"/>
              </w:rPr>
            </w:pPr>
          </w:p>
        </w:tc>
      </w:tr>
      <w:tr w:rsidRPr="00866894" w:rsidR="008474D7" w:rsidTr="75AC003F" w14:paraId="298BF2C4" w14:textId="77777777">
        <w:tc>
          <w:tcPr>
            <w:tcW w:w="817" w:type="dxa"/>
            <w:tcMar/>
          </w:tcPr>
          <w:p w:rsidR="008474D7" w:rsidP="75AC003F" w:rsidRDefault="00456F9F" w14:paraId="4E7205C2" w14:textId="159314D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rebuchet MS" w:hAnsi="Trebuchet MS" w:cs="LilyUPC"/>
                <w:sz w:val="20"/>
                <w:szCs w:val="20"/>
              </w:rPr>
            </w:pPr>
            <w:r w:rsidRPr="75AC003F" w:rsidR="75AC003F">
              <w:rPr>
                <w:rFonts w:ascii="Trebuchet MS" w:hAnsi="Trebuchet MS" w:cs="LilyUPC"/>
                <w:sz w:val="20"/>
                <w:szCs w:val="20"/>
              </w:rPr>
              <w:t>65-80</w:t>
            </w:r>
          </w:p>
        </w:tc>
        <w:tc>
          <w:tcPr>
            <w:tcW w:w="9141" w:type="dxa"/>
            <w:tcMar/>
          </w:tcPr>
          <w:p w:rsidR="008474D7" w:rsidP="75AC003F" w:rsidRDefault="00456F9F" w14:paraId="0E8FBC53" w14:textId="3CC6393B">
            <w:pPr>
              <w:rPr>
                <w:rFonts w:ascii="Trebuchet MS" w:hAnsi="Trebuchet MS" w:cs="LilyUPC"/>
                <w:sz w:val="20"/>
                <w:szCs w:val="20"/>
              </w:rPr>
            </w:pPr>
            <w:r w:rsidRPr="75AC003F" w:rsidR="00456F9F">
              <w:rPr>
                <w:rFonts w:ascii="Trebuchet MS" w:hAnsi="Trebuchet MS" w:cs="LilyUPC"/>
                <w:sz w:val="20"/>
                <w:szCs w:val="20"/>
              </w:rPr>
              <w:t xml:space="preserve">Attempt writing </w:t>
            </w:r>
            <w:r w:rsidRPr="75AC003F" w:rsidR="007916E8">
              <w:rPr>
                <w:rFonts w:ascii="Trebuchet MS" w:hAnsi="Trebuchet MS" w:cs="LilyUPC"/>
                <w:sz w:val="20"/>
                <w:szCs w:val="20"/>
              </w:rPr>
              <w:t>2 areas of strength and an area of development using JUDGEMENT statements.</w:t>
            </w:r>
            <w:r w:rsidRPr="75AC003F" w:rsidR="00456F9F">
              <w:rPr>
                <w:rFonts w:ascii="Trebuchet MS" w:hAnsi="Trebuchet MS" w:cs="LilyUPC"/>
                <w:sz w:val="20"/>
                <w:szCs w:val="20"/>
              </w:rPr>
              <w:t xml:space="preserve"> Be sure not to fall into the trap of writing actions/reccomendations.</w:t>
            </w:r>
          </w:p>
          <w:p w:rsidR="008474D7" w:rsidP="75AC003F" w:rsidRDefault="00456F9F" w14:paraId="0753D30C" w14:textId="6B6F35C3">
            <w:pPr>
              <w:pStyle w:val="Normal"/>
              <w:rPr>
                <w:rFonts w:ascii="Trebuchet MS" w:hAnsi="Trebuchet MS" w:cs="LilyUPC"/>
                <w:sz w:val="20"/>
                <w:szCs w:val="20"/>
              </w:rPr>
            </w:pPr>
            <w:r w:rsidRPr="75AC003F" w:rsidR="75AC003F">
              <w:rPr>
                <w:rFonts w:ascii="Trebuchet MS" w:hAnsi="Trebuchet MS" w:cs="LilyUPC"/>
                <w:sz w:val="20"/>
                <w:szCs w:val="20"/>
              </w:rPr>
              <w:t>Share and discuss some</w:t>
            </w:r>
          </w:p>
        </w:tc>
        <w:tc>
          <w:tcPr>
            <w:tcW w:w="782" w:type="dxa"/>
            <w:tcMar/>
          </w:tcPr>
          <w:p w:rsidRPr="00866894" w:rsidR="008474D7" w:rsidRDefault="008474D7" w14:paraId="35D43898" w14:textId="77777777">
            <w:pPr>
              <w:rPr>
                <w:rFonts w:ascii="Trebuchet MS" w:hAnsi="Trebuchet MS" w:cs="LilyUPC"/>
                <w:sz w:val="20"/>
                <w:szCs w:val="20"/>
              </w:rPr>
            </w:pPr>
          </w:p>
        </w:tc>
      </w:tr>
      <w:tr w:rsidRPr="00866894" w:rsidR="00456F9F" w:rsidTr="75AC003F" w14:paraId="42714F3B" w14:textId="77777777">
        <w:tc>
          <w:tcPr>
            <w:tcW w:w="817" w:type="dxa"/>
            <w:tcMar/>
          </w:tcPr>
          <w:p w:rsidR="00456F9F" w:rsidRDefault="00456F9F" w14:paraId="1F12A059" w14:textId="01132111">
            <w:pPr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>80+</w:t>
            </w:r>
          </w:p>
        </w:tc>
        <w:tc>
          <w:tcPr>
            <w:tcW w:w="9141" w:type="dxa"/>
            <w:tcMar/>
          </w:tcPr>
          <w:p w:rsidR="00456F9F" w:rsidRDefault="00456F9F" w14:paraId="289E4815" w14:textId="10B3C58B">
            <w:pPr>
              <w:rPr>
                <w:rFonts w:ascii="Trebuchet MS" w:hAnsi="Trebuchet MS" w:cs="LilyUPC"/>
                <w:sz w:val="20"/>
                <w:szCs w:val="20"/>
              </w:rPr>
            </w:pPr>
            <w:r w:rsidRPr="75AC003F" w:rsidR="75AC003F">
              <w:rPr>
                <w:rFonts w:ascii="Trebuchet MS" w:hAnsi="Trebuchet MS" w:cs="LilyUPC"/>
                <w:sz w:val="20"/>
                <w:szCs w:val="20"/>
              </w:rPr>
              <w:t>Summary</w:t>
            </w:r>
          </w:p>
        </w:tc>
        <w:tc>
          <w:tcPr>
            <w:tcW w:w="782" w:type="dxa"/>
            <w:tcMar/>
          </w:tcPr>
          <w:p w:rsidRPr="00866894" w:rsidR="00456F9F" w:rsidRDefault="00456F9F" w14:paraId="5B40079F" w14:textId="77777777">
            <w:pPr>
              <w:rPr>
                <w:rFonts w:ascii="Trebuchet MS" w:hAnsi="Trebuchet MS" w:cs="LilyUPC"/>
                <w:sz w:val="20"/>
                <w:szCs w:val="20"/>
              </w:rPr>
            </w:pPr>
          </w:p>
        </w:tc>
      </w:tr>
    </w:tbl>
    <w:p w:rsidRPr="00866894" w:rsidR="009D43AD" w:rsidRDefault="009D43AD" w14:paraId="7B900313" w14:textId="77777777">
      <w:pPr>
        <w:rPr>
          <w:rFonts w:ascii="Trebuchet MS" w:hAnsi="Trebuchet MS" w:cs="LilyUPC"/>
          <w:sz w:val="20"/>
          <w:szCs w:val="20"/>
        </w:rPr>
      </w:pPr>
    </w:p>
    <w:sectPr w:rsidRPr="00866894" w:rsidR="009D43AD" w:rsidSect="004C1782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ly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1BE5"/>
    <w:multiLevelType w:val="hybridMultilevel"/>
    <w:tmpl w:val="9C027F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FF13CD"/>
    <w:multiLevelType w:val="hybridMultilevel"/>
    <w:tmpl w:val="CCF0D2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F23CE9"/>
    <w:multiLevelType w:val="hybridMultilevel"/>
    <w:tmpl w:val="E864E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C4DC5"/>
    <w:multiLevelType w:val="hybridMultilevel"/>
    <w:tmpl w:val="A992F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C4453"/>
    <w:multiLevelType w:val="hybridMultilevel"/>
    <w:tmpl w:val="DBB2E71C"/>
    <w:lvl w:ilvl="0" w:tplc="08090001">
      <w:start w:val="1"/>
      <w:numFmt w:val="bullet"/>
      <w:lvlText w:val=""/>
      <w:lvlJc w:val="left"/>
      <w:pPr>
        <w:ind w:left="77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hint="default" w:ascii="Wingdings" w:hAnsi="Wingdings"/>
      </w:rPr>
    </w:lvl>
  </w:abstractNum>
  <w:abstractNum w:abstractNumId="5" w15:restartNumberingAfterBreak="0">
    <w:nsid w:val="38415B44"/>
    <w:multiLevelType w:val="hybridMultilevel"/>
    <w:tmpl w:val="DF3E11A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6D5197"/>
    <w:multiLevelType w:val="hybridMultilevel"/>
    <w:tmpl w:val="93186C2A"/>
    <w:lvl w:ilvl="0" w:tplc="F4DA0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13440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DAE0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F5A3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76C7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2889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9089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066C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EE2B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3E806E30"/>
    <w:multiLevelType w:val="hybridMultilevel"/>
    <w:tmpl w:val="DF3E11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CA5045"/>
    <w:multiLevelType w:val="hybridMultilevel"/>
    <w:tmpl w:val="534031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1F76FFE"/>
    <w:multiLevelType w:val="hybridMultilevel"/>
    <w:tmpl w:val="7F487B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054548"/>
    <w:multiLevelType w:val="hybridMultilevel"/>
    <w:tmpl w:val="59FEEA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FE9542F"/>
    <w:multiLevelType w:val="hybridMultilevel"/>
    <w:tmpl w:val="86EECD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F707D89"/>
    <w:multiLevelType w:val="hybridMultilevel"/>
    <w:tmpl w:val="C9763CA2"/>
    <w:lvl w:ilvl="0" w:tplc="08090001">
      <w:start w:val="1"/>
      <w:numFmt w:val="bullet"/>
      <w:lvlText w:val=""/>
      <w:lvlJc w:val="left"/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-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-14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-7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</w:abstractNum>
  <w:abstractNum w:abstractNumId="13" w15:restartNumberingAfterBreak="0">
    <w:nsid w:val="7133060C"/>
    <w:multiLevelType w:val="hybridMultilevel"/>
    <w:tmpl w:val="4CFA9F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A26639C"/>
    <w:multiLevelType w:val="hybridMultilevel"/>
    <w:tmpl w:val="4E1049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"/>
  </w:num>
  <w:num w:numId="5">
    <w:abstractNumId w:val="10"/>
  </w:num>
  <w:num w:numId="6">
    <w:abstractNumId w:val="12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6A"/>
    <w:rsid w:val="00001F67"/>
    <w:rsid w:val="0001215A"/>
    <w:rsid w:val="00032806"/>
    <w:rsid w:val="0003427E"/>
    <w:rsid w:val="000438FD"/>
    <w:rsid w:val="000849E6"/>
    <w:rsid w:val="00096B22"/>
    <w:rsid w:val="000B05B9"/>
    <w:rsid w:val="000B6E03"/>
    <w:rsid w:val="000B7BBE"/>
    <w:rsid w:val="000C5162"/>
    <w:rsid w:val="000E40B2"/>
    <w:rsid w:val="000F1270"/>
    <w:rsid w:val="001277D2"/>
    <w:rsid w:val="001635A6"/>
    <w:rsid w:val="00192E20"/>
    <w:rsid w:val="001B72B2"/>
    <w:rsid w:val="001C2219"/>
    <w:rsid w:val="001F1264"/>
    <w:rsid w:val="0020096A"/>
    <w:rsid w:val="00204848"/>
    <w:rsid w:val="00205732"/>
    <w:rsid w:val="0020636C"/>
    <w:rsid w:val="0021627E"/>
    <w:rsid w:val="002407B3"/>
    <w:rsid w:val="00263954"/>
    <w:rsid w:val="002B27A3"/>
    <w:rsid w:val="002B2F45"/>
    <w:rsid w:val="002C2C49"/>
    <w:rsid w:val="002C47B2"/>
    <w:rsid w:val="002E2266"/>
    <w:rsid w:val="00347F0C"/>
    <w:rsid w:val="00386496"/>
    <w:rsid w:val="003865D9"/>
    <w:rsid w:val="00396481"/>
    <w:rsid w:val="003C4A3D"/>
    <w:rsid w:val="003C6D87"/>
    <w:rsid w:val="003E4A71"/>
    <w:rsid w:val="00405488"/>
    <w:rsid w:val="0041122B"/>
    <w:rsid w:val="0044345B"/>
    <w:rsid w:val="004476F9"/>
    <w:rsid w:val="00456F9F"/>
    <w:rsid w:val="0046155C"/>
    <w:rsid w:val="004A4D7B"/>
    <w:rsid w:val="004A5201"/>
    <w:rsid w:val="004B1B97"/>
    <w:rsid w:val="004C1782"/>
    <w:rsid w:val="004C40AD"/>
    <w:rsid w:val="004E084B"/>
    <w:rsid w:val="004F265E"/>
    <w:rsid w:val="0053726B"/>
    <w:rsid w:val="00540ABC"/>
    <w:rsid w:val="005411F6"/>
    <w:rsid w:val="0055719A"/>
    <w:rsid w:val="00571538"/>
    <w:rsid w:val="005A1B14"/>
    <w:rsid w:val="005C1313"/>
    <w:rsid w:val="005C67BE"/>
    <w:rsid w:val="005E5317"/>
    <w:rsid w:val="00617EEB"/>
    <w:rsid w:val="00650113"/>
    <w:rsid w:val="00655DE0"/>
    <w:rsid w:val="00690F3B"/>
    <w:rsid w:val="006A133F"/>
    <w:rsid w:val="006A208F"/>
    <w:rsid w:val="006C4FFC"/>
    <w:rsid w:val="006D5B37"/>
    <w:rsid w:val="006F5C4A"/>
    <w:rsid w:val="006F5D62"/>
    <w:rsid w:val="00725F9E"/>
    <w:rsid w:val="00741DD2"/>
    <w:rsid w:val="00754BB9"/>
    <w:rsid w:val="007916E8"/>
    <w:rsid w:val="00792011"/>
    <w:rsid w:val="0084189B"/>
    <w:rsid w:val="00841A33"/>
    <w:rsid w:val="0084519F"/>
    <w:rsid w:val="008474D7"/>
    <w:rsid w:val="00853E62"/>
    <w:rsid w:val="00866894"/>
    <w:rsid w:val="0092454A"/>
    <w:rsid w:val="00943C60"/>
    <w:rsid w:val="00961172"/>
    <w:rsid w:val="00961CFB"/>
    <w:rsid w:val="00963EFA"/>
    <w:rsid w:val="009651F1"/>
    <w:rsid w:val="00991E3B"/>
    <w:rsid w:val="009D43AD"/>
    <w:rsid w:val="00A130C8"/>
    <w:rsid w:val="00A13119"/>
    <w:rsid w:val="00A645E4"/>
    <w:rsid w:val="00A647DD"/>
    <w:rsid w:val="00A71E25"/>
    <w:rsid w:val="00AA054E"/>
    <w:rsid w:val="00AB2A24"/>
    <w:rsid w:val="00AC3555"/>
    <w:rsid w:val="00AC4261"/>
    <w:rsid w:val="00AD2CA7"/>
    <w:rsid w:val="00B21E94"/>
    <w:rsid w:val="00B222E6"/>
    <w:rsid w:val="00B31095"/>
    <w:rsid w:val="00B36BB9"/>
    <w:rsid w:val="00B41941"/>
    <w:rsid w:val="00B6448A"/>
    <w:rsid w:val="00BB735A"/>
    <w:rsid w:val="00BC319E"/>
    <w:rsid w:val="00BF20EA"/>
    <w:rsid w:val="00C21291"/>
    <w:rsid w:val="00C22829"/>
    <w:rsid w:val="00C24AE0"/>
    <w:rsid w:val="00C25366"/>
    <w:rsid w:val="00C25F0E"/>
    <w:rsid w:val="00C33F71"/>
    <w:rsid w:val="00C66ACC"/>
    <w:rsid w:val="00C76D74"/>
    <w:rsid w:val="00C952D9"/>
    <w:rsid w:val="00CB2649"/>
    <w:rsid w:val="00CB2DF8"/>
    <w:rsid w:val="00CF4B90"/>
    <w:rsid w:val="00D1173E"/>
    <w:rsid w:val="00D16486"/>
    <w:rsid w:val="00D209C0"/>
    <w:rsid w:val="00D42319"/>
    <w:rsid w:val="00D70BE1"/>
    <w:rsid w:val="00D75BD5"/>
    <w:rsid w:val="00D86C4E"/>
    <w:rsid w:val="00DA0C93"/>
    <w:rsid w:val="00DB3F09"/>
    <w:rsid w:val="00E95DC7"/>
    <w:rsid w:val="00EA55B4"/>
    <w:rsid w:val="00EB131B"/>
    <w:rsid w:val="00F22A13"/>
    <w:rsid w:val="00F712D5"/>
    <w:rsid w:val="00F85838"/>
    <w:rsid w:val="00FB0B9F"/>
    <w:rsid w:val="00FC02BE"/>
    <w:rsid w:val="00FD67F4"/>
    <w:rsid w:val="00FE0C0D"/>
    <w:rsid w:val="00FE6139"/>
    <w:rsid w:val="0964FBA2"/>
    <w:rsid w:val="6AE5BF45"/>
    <w:rsid w:val="75AC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1B0E2"/>
  <w15:docId w15:val="{0532F5D6-9CF5-4633-9CCF-4202B739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282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F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651F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1CF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7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47D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647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7D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647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6732">
          <w:marLeft w:val="317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836">
          <w:marLeft w:val="317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766">
          <w:marLeft w:val="317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703">
          <w:marLeft w:val="317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103F4CB0E6F4E9AE621295542BB0B" ma:contentTypeVersion="3" ma:contentTypeDescription="Create a new document." ma:contentTypeScope="" ma:versionID="c32b07e3a0f18290d5247aa029440c98">
  <xsd:schema xmlns:xsd="http://www.w3.org/2001/XMLSchema" xmlns:xs="http://www.w3.org/2001/XMLSchema" xmlns:p="http://schemas.microsoft.com/office/2006/metadata/properties" xmlns:ns2="f532f8cf-f7cd-4cfe-814b-6813e7beeda5" targetNamespace="http://schemas.microsoft.com/office/2006/metadata/properties" ma:root="true" ma:fieldsID="22d46a09240af806abe2c5f3eba5d60c" ns2:_="">
    <xsd:import namespace="f532f8cf-f7cd-4cfe-814b-6813e7beeda5"/>
    <xsd:element name="properties">
      <xsd:complexType>
        <xsd:sequence>
          <xsd:element name="documentManagement">
            <xsd:complexType>
              <xsd:all>
                <xsd:element ref="ns2:Filter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2f8cf-f7cd-4cfe-814b-6813e7beeda5" elementFormDefault="qualified">
    <xsd:import namespace="http://schemas.microsoft.com/office/2006/documentManagement/types"/>
    <xsd:import namespace="http://schemas.microsoft.com/office/infopath/2007/PartnerControls"/>
    <xsd:element name="Filter" ma:index="8" nillable="true" ma:displayName="Filter" ma:default="1" ma:format="Dropdown" ma:internalName="Filt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ter xmlns="f532f8cf-f7cd-4cfe-814b-6813e7beeda5">3</Filter>
  </documentManagement>
</p:properties>
</file>

<file path=customXml/itemProps1.xml><?xml version="1.0" encoding="utf-8"?>
<ds:datastoreItem xmlns:ds="http://schemas.openxmlformats.org/officeDocument/2006/customXml" ds:itemID="{650D1FAD-B56A-460F-B939-86A73F43252B}"/>
</file>

<file path=customXml/itemProps2.xml><?xml version="1.0" encoding="utf-8"?>
<ds:datastoreItem xmlns:ds="http://schemas.openxmlformats.org/officeDocument/2006/customXml" ds:itemID="{436CF4DC-00B0-41DC-9AA6-A44D40CF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5016F-D1E8-44E2-94E8-4E34D6E452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Neala Whybrow</dc:creator>
  <cp:keywords/>
  <dc:description/>
  <cp:lastModifiedBy>Neala Whybrow</cp:lastModifiedBy>
  <cp:revision>3</cp:revision>
  <dcterms:created xsi:type="dcterms:W3CDTF">2022-03-08T14:03:00Z</dcterms:created>
  <dcterms:modified xsi:type="dcterms:W3CDTF">2022-03-11T11:25:01Z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0x010100197103F4CB0E6F4E9AE621295542BB0B</vt:lpwstr>
  </property>
  <property fmtid="{D5CDD505-2E9C-101B-9397-08002B2CF9AE}" pid="3" name="Order">
    <vt:r8>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